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926D3" w14:textId="637A5E93" w:rsidR="009230C9" w:rsidRPr="00E14F3C" w:rsidRDefault="00D77EAD" w:rsidP="00D77EAD">
      <w:pPr>
        <w:spacing w:after="0"/>
        <w:jc w:val="center"/>
        <w:rPr>
          <w:b/>
          <w:sz w:val="40"/>
          <w:szCs w:val="40"/>
          <w:u w:val="single"/>
        </w:rPr>
      </w:pPr>
      <w:r w:rsidRPr="00E14F3C">
        <w:rPr>
          <w:b/>
          <w:sz w:val="40"/>
          <w:szCs w:val="40"/>
          <w:u w:val="single"/>
        </w:rPr>
        <w:t>Ju</w:t>
      </w:r>
      <w:r w:rsidR="00623465">
        <w:rPr>
          <w:b/>
          <w:sz w:val="40"/>
          <w:szCs w:val="40"/>
          <w:u w:val="single"/>
        </w:rPr>
        <w:t>ly</w:t>
      </w:r>
      <w:r w:rsidRPr="00E14F3C">
        <w:rPr>
          <w:b/>
          <w:sz w:val="40"/>
          <w:szCs w:val="40"/>
          <w:u w:val="single"/>
        </w:rPr>
        <w:t xml:space="preserve"> </w:t>
      </w:r>
      <w:r w:rsidR="00623465">
        <w:rPr>
          <w:b/>
          <w:sz w:val="40"/>
          <w:szCs w:val="40"/>
          <w:u w:val="single"/>
        </w:rPr>
        <w:t>3</w:t>
      </w:r>
      <w:r w:rsidRPr="00E14F3C">
        <w:rPr>
          <w:b/>
          <w:sz w:val="40"/>
          <w:szCs w:val="40"/>
          <w:u w:val="single"/>
        </w:rPr>
        <w:t>, 202</w:t>
      </w:r>
      <w:r w:rsidR="00B366CB">
        <w:rPr>
          <w:b/>
          <w:sz w:val="40"/>
          <w:szCs w:val="40"/>
          <w:u w:val="single"/>
        </w:rPr>
        <w:t>4</w:t>
      </w:r>
    </w:p>
    <w:p w14:paraId="37132B38" w14:textId="39B87AA7" w:rsidR="00D77EAD" w:rsidRPr="00E14F3C" w:rsidRDefault="00D77EAD" w:rsidP="00D77EAD">
      <w:pPr>
        <w:spacing w:after="0"/>
        <w:jc w:val="center"/>
        <w:rPr>
          <w:sz w:val="24"/>
          <w:szCs w:val="24"/>
        </w:rPr>
      </w:pPr>
      <w:r w:rsidRPr="00E14F3C">
        <w:rPr>
          <w:b/>
          <w:sz w:val="40"/>
          <w:szCs w:val="40"/>
          <w:u w:val="single"/>
        </w:rPr>
        <w:t>Addenda for RFA #2</w:t>
      </w:r>
      <w:r w:rsidR="00B366CB">
        <w:rPr>
          <w:b/>
          <w:sz w:val="40"/>
          <w:szCs w:val="40"/>
          <w:u w:val="single"/>
        </w:rPr>
        <w:t>5</w:t>
      </w:r>
      <w:r w:rsidRPr="00E14F3C">
        <w:rPr>
          <w:b/>
          <w:sz w:val="40"/>
          <w:szCs w:val="40"/>
          <w:u w:val="single"/>
        </w:rPr>
        <w:t>-01</w:t>
      </w:r>
    </w:p>
    <w:p w14:paraId="756DD085" w14:textId="77777777" w:rsidR="00D77EAD" w:rsidRPr="00E14F3C" w:rsidRDefault="00D77EAD" w:rsidP="00D77EAD">
      <w:pPr>
        <w:spacing w:after="0"/>
        <w:jc w:val="center"/>
        <w:rPr>
          <w:sz w:val="24"/>
          <w:szCs w:val="24"/>
        </w:rPr>
      </w:pPr>
    </w:p>
    <w:p w14:paraId="10E5729C" w14:textId="682B4DA2" w:rsidR="00D77EAD" w:rsidRPr="00175E6C" w:rsidRDefault="00D77EAD" w:rsidP="00D77EAD">
      <w:pPr>
        <w:spacing w:after="0"/>
        <w:rPr>
          <w:sz w:val="24"/>
          <w:szCs w:val="24"/>
        </w:rPr>
      </w:pPr>
      <w:r w:rsidRPr="00E14F3C">
        <w:rPr>
          <w:sz w:val="24"/>
          <w:szCs w:val="24"/>
        </w:rPr>
        <w:t xml:space="preserve">Below are the answers to questions the Morris County Department of Human Services received </w:t>
      </w:r>
      <w:r w:rsidRPr="00175E6C">
        <w:rPr>
          <w:sz w:val="24"/>
          <w:szCs w:val="24"/>
        </w:rPr>
        <w:t xml:space="preserve">from </w:t>
      </w:r>
      <w:r w:rsidR="00623465" w:rsidRPr="00175E6C">
        <w:rPr>
          <w:sz w:val="24"/>
          <w:szCs w:val="24"/>
        </w:rPr>
        <w:t xml:space="preserve">June </w:t>
      </w:r>
      <w:r w:rsidR="00B366CB">
        <w:rPr>
          <w:sz w:val="24"/>
          <w:szCs w:val="24"/>
        </w:rPr>
        <w:t>14</w:t>
      </w:r>
      <w:r w:rsidR="00623465" w:rsidRPr="00175E6C">
        <w:rPr>
          <w:sz w:val="24"/>
          <w:szCs w:val="24"/>
        </w:rPr>
        <w:t xml:space="preserve">, </w:t>
      </w:r>
      <w:r w:rsidR="003C4EC5" w:rsidRPr="00175E6C">
        <w:rPr>
          <w:sz w:val="24"/>
          <w:szCs w:val="24"/>
        </w:rPr>
        <w:t>202</w:t>
      </w:r>
      <w:r w:rsidR="003C4EC5">
        <w:rPr>
          <w:sz w:val="24"/>
          <w:szCs w:val="24"/>
        </w:rPr>
        <w:t>4,</w:t>
      </w:r>
      <w:r w:rsidRPr="00175E6C">
        <w:rPr>
          <w:sz w:val="24"/>
          <w:szCs w:val="24"/>
        </w:rPr>
        <w:t xml:space="preserve"> through Ju</w:t>
      </w:r>
      <w:r w:rsidR="00B366CB">
        <w:rPr>
          <w:sz w:val="24"/>
          <w:szCs w:val="24"/>
        </w:rPr>
        <w:t>ly 2</w:t>
      </w:r>
      <w:r w:rsidR="0004123D" w:rsidRPr="00175E6C">
        <w:rPr>
          <w:sz w:val="24"/>
          <w:szCs w:val="24"/>
        </w:rPr>
        <w:t>, 202</w:t>
      </w:r>
      <w:r w:rsidR="00B366CB">
        <w:rPr>
          <w:sz w:val="24"/>
          <w:szCs w:val="24"/>
        </w:rPr>
        <w:t>4</w:t>
      </w:r>
      <w:r w:rsidR="0004123D" w:rsidRPr="00175E6C">
        <w:rPr>
          <w:sz w:val="24"/>
          <w:szCs w:val="24"/>
        </w:rPr>
        <w:t>:</w:t>
      </w:r>
    </w:p>
    <w:p w14:paraId="4D6A7A8D" w14:textId="77777777" w:rsidR="00D77EAD" w:rsidRPr="00175E6C" w:rsidRDefault="00D77EAD" w:rsidP="00D77EAD">
      <w:pPr>
        <w:spacing w:after="0"/>
        <w:rPr>
          <w:sz w:val="24"/>
          <w:szCs w:val="24"/>
        </w:rPr>
      </w:pPr>
    </w:p>
    <w:p w14:paraId="08EC4FB0" w14:textId="75B3B89C" w:rsidR="00D77EAD" w:rsidRPr="00175E6C" w:rsidRDefault="00D77EAD" w:rsidP="00D77EAD">
      <w:pPr>
        <w:pStyle w:val="ListParagraph"/>
        <w:numPr>
          <w:ilvl w:val="0"/>
          <w:numId w:val="1"/>
        </w:numPr>
        <w:spacing w:after="0"/>
        <w:rPr>
          <w:sz w:val="24"/>
          <w:szCs w:val="24"/>
        </w:rPr>
      </w:pPr>
      <w:r w:rsidRPr="00175E6C">
        <w:rPr>
          <w:b/>
          <w:sz w:val="24"/>
          <w:szCs w:val="24"/>
        </w:rPr>
        <w:t>Q</w:t>
      </w:r>
      <w:r w:rsidRPr="00175E6C">
        <w:rPr>
          <w:sz w:val="24"/>
          <w:szCs w:val="24"/>
        </w:rPr>
        <w:t xml:space="preserve"> </w:t>
      </w:r>
      <w:r w:rsidR="00522F85" w:rsidRPr="00175E6C">
        <w:rPr>
          <w:sz w:val="24"/>
          <w:szCs w:val="24"/>
        </w:rPr>
        <w:t>–</w:t>
      </w:r>
      <w:r w:rsidRPr="00175E6C">
        <w:rPr>
          <w:sz w:val="24"/>
          <w:szCs w:val="24"/>
        </w:rPr>
        <w:t xml:space="preserve"> </w:t>
      </w:r>
      <w:r w:rsidR="00B366CB">
        <w:rPr>
          <w:sz w:val="24"/>
          <w:szCs w:val="24"/>
        </w:rPr>
        <w:t>For the Recovery Support Services grant in Morris County, does the applicant’s business have to be a licensed chemical dependency treatment facility, or can the applicant hire licensed (LADC) counselors as supervisors when peer support services are offered via phone and tex</w:t>
      </w:r>
      <w:r w:rsidR="00635205">
        <w:rPr>
          <w:sz w:val="24"/>
          <w:szCs w:val="24"/>
        </w:rPr>
        <w:t>t</w:t>
      </w:r>
      <w:r w:rsidR="00B366CB">
        <w:rPr>
          <w:sz w:val="24"/>
          <w:szCs w:val="24"/>
        </w:rPr>
        <w:t xml:space="preserve"> support rather than a </w:t>
      </w:r>
      <w:r w:rsidR="00635205">
        <w:rPr>
          <w:sz w:val="24"/>
          <w:szCs w:val="24"/>
        </w:rPr>
        <w:t>brick-and-mortar</w:t>
      </w:r>
      <w:r w:rsidR="00B366CB">
        <w:rPr>
          <w:sz w:val="24"/>
          <w:szCs w:val="24"/>
        </w:rPr>
        <w:t xml:space="preserve"> facility?</w:t>
      </w:r>
    </w:p>
    <w:p w14:paraId="6CB9CBF5" w14:textId="338C3B50" w:rsidR="00640714" w:rsidRPr="00175E6C" w:rsidRDefault="00522F85" w:rsidP="00D77EAD">
      <w:pPr>
        <w:pStyle w:val="ListParagraph"/>
        <w:numPr>
          <w:ilvl w:val="0"/>
          <w:numId w:val="1"/>
        </w:numPr>
        <w:spacing w:after="0"/>
        <w:rPr>
          <w:sz w:val="24"/>
          <w:szCs w:val="24"/>
        </w:rPr>
      </w:pPr>
      <w:r w:rsidRPr="00175E6C">
        <w:rPr>
          <w:b/>
          <w:sz w:val="24"/>
          <w:szCs w:val="24"/>
        </w:rPr>
        <w:t>A</w:t>
      </w:r>
      <w:r w:rsidRPr="00175E6C">
        <w:rPr>
          <w:sz w:val="24"/>
          <w:szCs w:val="24"/>
        </w:rPr>
        <w:t xml:space="preserve"> </w:t>
      </w:r>
      <w:r w:rsidR="00516C81" w:rsidRPr="00175E6C">
        <w:rPr>
          <w:sz w:val="24"/>
          <w:szCs w:val="24"/>
        </w:rPr>
        <w:t xml:space="preserve">– </w:t>
      </w:r>
      <w:r w:rsidR="00635205">
        <w:rPr>
          <w:sz w:val="24"/>
          <w:szCs w:val="24"/>
        </w:rPr>
        <w:t xml:space="preserve">All treatment providers, without exception, shall be licensed by DHS-Office of Licensing to provide the contracted or subcontracted services at the time of </w:t>
      </w:r>
      <w:r w:rsidR="003C4EC5">
        <w:rPr>
          <w:sz w:val="24"/>
          <w:szCs w:val="24"/>
        </w:rPr>
        <w:t>entering</w:t>
      </w:r>
      <w:r w:rsidR="00635205">
        <w:rPr>
          <w:sz w:val="24"/>
          <w:szCs w:val="24"/>
        </w:rPr>
        <w:t xml:space="preserve"> any contractual relationship with the county authority.</w:t>
      </w:r>
    </w:p>
    <w:p w14:paraId="2ED2589C" w14:textId="77777777" w:rsidR="00522F85" w:rsidRPr="00175E6C" w:rsidRDefault="00522F85" w:rsidP="00522F85">
      <w:pPr>
        <w:spacing w:after="0"/>
        <w:rPr>
          <w:sz w:val="24"/>
          <w:szCs w:val="24"/>
        </w:rPr>
      </w:pPr>
    </w:p>
    <w:p w14:paraId="4ADB5FC0" w14:textId="5477101A" w:rsidR="0004123D" w:rsidRPr="00175E6C" w:rsidRDefault="0004123D" w:rsidP="0004123D">
      <w:pPr>
        <w:pStyle w:val="ListParagraph"/>
        <w:numPr>
          <w:ilvl w:val="0"/>
          <w:numId w:val="1"/>
        </w:numPr>
        <w:spacing w:after="0"/>
        <w:rPr>
          <w:sz w:val="24"/>
          <w:szCs w:val="24"/>
        </w:rPr>
      </w:pPr>
      <w:r w:rsidRPr="00175E6C">
        <w:rPr>
          <w:b/>
          <w:bCs/>
          <w:sz w:val="24"/>
          <w:szCs w:val="24"/>
        </w:rPr>
        <w:t xml:space="preserve">Q </w:t>
      </w:r>
      <w:r w:rsidRPr="00175E6C">
        <w:rPr>
          <w:sz w:val="24"/>
          <w:szCs w:val="24"/>
        </w:rPr>
        <w:t xml:space="preserve">– </w:t>
      </w:r>
      <w:r w:rsidR="00635205">
        <w:rPr>
          <w:sz w:val="24"/>
          <w:szCs w:val="24"/>
        </w:rPr>
        <w:t>If applying for 2 funding streams are 2 separate applications needed or can the application be combined?</w:t>
      </w:r>
    </w:p>
    <w:p w14:paraId="377CD3F0" w14:textId="0ABC3E52" w:rsidR="0004123D" w:rsidRPr="00175E6C" w:rsidRDefault="0004123D" w:rsidP="001460AB">
      <w:pPr>
        <w:pStyle w:val="ListParagraph"/>
        <w:numPr>
          <w:ilvl w:val="0"/>
          <w:numId w:val="1"/>
        </w:numPr>
        <w:spacing w:after="0"/>
        <w:rPr>
          <w:sz w:val="24"/>
          <w:szCs w:val="24"/>
        </w:rPr>
      </w:pPr>
      <w:r w:rsidRPr="00175E6C">
        <w:rPr>
          <w:b/>
          <w:bCs/>
          <w:sz w:val="24"/>
          <w:szCs w:val="24"/>
        </w:rPr>
        <w:t>A</w:t>
      </w:r>
      <w:r w:rsidRPr="00175E6C">
        <w:rPr>
          <w:sz w:val="24"/>
          <w:szCs w:val="24"/>
        </w:rPr>
        <w:t xml:space="preserve"> – </w:t>
      </w:r>
      <w:r w:rsidR="00635205">
        <w:rPr>
          <w:sz w:val="24"/>
          <w:szCs w:val="24"/>
        </w:rPr>
        <w:t>If the program is the same, 1 application can be submitted checking off both funding streams in the application.  If any aspect of the program is different, separate applications must be submitted.</w:t>
      </w:r>
    </w:p>
    <w:p w14:paraId="78D14211" w14:textId="77777777" w:rsidR="00856609" w:rsidRPr="00175E6C" w:rsidRDefault="00856609" w:rsidP="00856609">
      <w:pPr>
        <w:pStyle w:val="ListParagraph"/>
        <w:spacing w:after="0"/>
        <w:rPr>
          <w:sz w:val="24"/>
          <w:szCs w:val="24"/>
        </w:rPr>
      </w:pPr>
    </w:p>
    <w:p w14:paraId="02C073BF" w14:textId="3BB140F8" w:rsidR="00856609" w:rsidRPr="00175E6C" w:rsidRDefault="00856609" w:rsidP="00856609">
      <w:pPr>
        <w:pStyle w:val="ListParagraph"/>
        <w:numPr>
          <w:ilvl w:val="0"/>
          <w:numId w:val="1"/>
        </w:numPr>
        <w:spacing w:after="0"/>
        <w:rPr>
          <w:sz w:val="24"/>
          <w:szCs w:val="24"/>
        </w:rPr>
      </w:pPr>
      <w:r w:rsidRPr="00175E6C">
        <w:rPr>
          <w:b/>
          <w:bCs/>
          <w:sz w:val="24"/>
          <w:szCs w:val="24"/>
        </w:rPr>
        <w:t xml:space="preserve">Q </w:t>
      </w:r>
      <w:r w:rsidRPr="00175E6C">
        <w:rPr>
          <w:sz w:val="24"/>
          <w:szCs w:val="24"/>
        </w:rPr>
        <w:t xml:space="preserve">– </w:t>
      </w:r>
      <w:r w:rsidR="00D80B13">
        <w:rPr>
          <w:sz w:val="24"/>
          <w:szCs w:val="24"/>
        </w:rPr>
        <w:t>Are there any guidelines for the Social Services for the Homeless (SSH) funding stream.</w:t>
      </w:r>
    </w:p>
    <w:p w14:paraId="0CFDE17F" w14:textId="20CCFCC9" w:rsidR="00856609" w:rsidRPr="00175E6C" w:rsidRDefault="00856609" w:rsidP="001460AB">
      <w:pPr>
        <w:pStyle w:val="ListParagraph"/>
        <w:numPr>
          <w:ilvl w:val="0"/>
          <w:numId w:val="1"/>
        </w:numPr>
        <w:spacing w:after="0"/>
        <w:rPr>
          <w:sz w:val="24"/>
          <w:szCs w:val="24"/>
        </w:rPr>
      </w:pPr>
      <w:r w:rsidRPr="00175E6C">
        <w:rPr>
          <w:b/>
          <w:bCs/>
          <w:sz w:val="24"/>
          <w:szCs w:val="24"/>
        </w:rPr>
        <w:t xml:space="preserve">A </w:t>
      </w:r>
      <w:r w:rsidRPr="00175E6C">
        <w:rPr>
          <w:sz w:val="24"/>
          <w:szCs w:val="24"/>
        </w:rPr>
        <w:t xml:space="preserve">– </w:t>
      </w:r>
      <w:r w:rsidR="00D80B13">
        <w:rPr>
          <w:sz w:val="24"/>
          <w:szCs w:val="24"/>
        </w:rPr>
        <w:t xml:space="preserve">The SSH priorities posted on the website have information related to the specific funding stream. </w:t>
      </w:r>
    </w:p>
    <w:p w14:paraId="7D143F86" w14:textId="77777777" w:rsidR="0004123D" w:rsidRPr="00175E6C" w:rsidRDefault="0004123D" w:rsidP="0004123D">
      <w:pPr>
        <w:pStyle w:val="ListParagraph"/>
        <w:spacing w:after="0"/>
        <w:rPr>
          <w:sz w:val="24"/>
          <w:szCs w:val="24"/>
        </w:rPr>
      </w:pPr>
    </w:p>
    <w:p w14:paraId="61A3A334" w14:textId="49DC8158" w:rsidR="00451971" w:rsidRPr="00175E6C" w:rsidRDefault="0004123D" w:rsidP="00451971">
      <w:pPr>
        <w:pStyle w:val="ListParagraph"/>
        <w:numPr>
          <w:ilvl w:val="0"/>
          <w:numId w:val="1"/>
        </w:numPr>
        <w:spacing w:after="0"/>
        <w:rPr>
          <w:sz w:val="24"/>
          <w:szCs w:val="24"/>
        </w:rPr>
      </w:pPr>
      <w:r w:rsidRPr="00175E6C">
        <w:rPr>
          <w:b/>
          <w:bCs/>
          <w:sz w:val="24"/>
          <w:szCs w:val="24"/>
        </w:rPr>
        <w:t xml:space="preserve">Q </w:t>
      </w:r>
      <w:r w:rsidR="00451971" w:rsidRPr="00175E6C">
        <w:rPr>
          <w:sz w:val="24"/>
          <w:szCs w:val="24"/>
        </w:rPr>
        <w:t>–</w:t>
      </w:r>
      <w:r w:rsidRPr="00175E6C">
        <w:rPr>
          <w:sz w:val="24"/>
          <w:szCs w:val="24"/>
        </w:rPr>
        <w:t xml:space="preserve"> </w:t>
      </w:r>
      <w:r w:rsidR="002B4836">
        <w:rPr>
          <w:sz w:val="24"/>
          <w:szCs w:val="24"/>
        </w:rPr>
        <w:t>The priorities for Mental Health/Substance Use stat</w:t>
      </w:r>
      <w:r w:rsidR="000941E4">
        <w:rPr>
          <w:sz w:val="24"/>
          <w:szCs w:val="24"/>
        </w:rPr>
        <w:t>e “be appropriately licensed and maintain the highest standards of quality care.” What license is required to apply for funding.</w:t>
      </w:r>
    </w:p>
    <w:p w14:paraId="4EC47404" w14:textId="7F2F2380" w:rsidR="00451971" w:rsidRDefault="00451971" w:rsidP="001460AB">
      <w:pPr>
        <w:pStyle w:val="ListParagraph"/>
        <w:numPr>
          <w:ilvl w:val="0"/>
          <w:numId w:val="1"/>
        </w:numPr>
        <w:spacing w:after="0"/>
        <w:rPr>
          <w:sz w:val="24"/>
          <w:szCs w:val="24"/>
        </w:rPr>
      </w:pPr>
      <w:r w:rsidRPr="00175E6C">
        <w:rPr>
          <w:b/>
          <w:bCs/>
          <w:sz w:val="24"/>
          <w:szCs w:val="24"/>
        </w:rPr>
        <w:t>A</w:t>
      </w:r>
      <w:r w:rsidRPr="00175E6C">
        <w:rPr>
          <w:sz w:val="24"/>
          <w:szCs w:val="24"/>
        </w:rPr>
        <w:t xml:space="preserve"> – </w:t>
      </w:r>
      <w:r w:rsidR="000941E4">
        <w:rPr>
          <w:sz w:val="24"/>
          <w:szCs w:val="24"/>
        </w:rPr>
        <w:t>Licenses are specific to the applicant’s program</w:t>
      </w:r>
      <w:r w:rsidR="00EF5055">
        <w:rPr>
          <w:sz w:val="24"/>
          <w:szCs w:val="24"/>
        </w:rPr>
        <w:t xml:space="preserve">.  If the program requires a </w:t>
      </w:r>
      <w:r w:rsidR="003C4EC5">
        <w:rPr>
          <w:sz w:val="24"/>
          <w:szCs w:val="24"/>
        </w:rPr>
        <w:t>license,</w:t>
      </w:r>
      <w:r w:rsidR="00EF5055">
        <w:rPr>
          <w:sz w:val="24"/>
          <w:szCs w:val="24"/>
        </w:rPr>
        <w:t xml:space="preserve"> you must have the appropriate credentials and licenses</w:t>
      </w:r>
      <w:r w:rsidR="00DA220A">
        <w:rPr>
          <w:sz w:val="24"/>
          <w:szCs w:val="24"/>
        </w:rPr>
        <w:t xml:space="preserve"> to run the program</w:t>
      </w:r>
      <w:r w:rsidR="00EF5055">
        <w:rPr>
          <w:sz w:val="24"/>
          <w:szCs w:val="24"/>
        </w:rPr>
        <w:t xml:space="preserve">.  If the program does not require a </w:t>
      </w:r>
      <w:r w:rsidR="003C4EC5">
        <w:rPr>
          <w:sz w:val="24"/>
          <w:szCs w:val="24"/>
        </w:rPr>
        <w:t>license,</w:t>
      </w:r>
      <w:r w:rsidR="00EF5055">
        <w:rPr>
          <w:sz w:val="24"/>
          <w:szCs w:val="24"/>
        </w:rPr>
        <w:t xml:space="preserve"> then that criteria does not apply.</w:t>
      </w:r>
    </w:p>
    <w:p w14:paraId="4E71F2E4" w14:textId="77777777" w:rsidR="00D24920" w:rsidRDefault="00D24920" w:rsidP="00D24920">
      <w:pPr>
        <w:pStyle w:val="ListParagraph"/>
        <w:spacing w:after="0"/>
        <w:rPr>
          <w:sz w:val="24"/>
          <w:szCs w:val="24"/>
        </w:rPr>
      </w:pPr>
    </w:p>
    <w:p w14:paraId="16986359" w14:textId="01944E02" w:rsidR="00D24920" w:rsidRDefault="00D24920" w:rsidP="001460AB">
      <w:pPr>
        <w:pStyle w:val="ListParagraph"/>
        <w:numPr>
          <w:ilvl w:val="0"/>
          <w:numId w:val="1"/>
        </w:numPr>
        <w:spacing w:after="0"/>
        <w:rPr>
          <w:sz w:val="24"/>
          <w:szCs w:val="24"/>
        </w:rPr>
      </w:pPr>
      <w:r>
        <w:rPr>
          <w:b/>
          <w:bCs/>
          <w:sz w:val="24"/>
          <w:szCs w:val="24"/>
        </w:rPr>
        <w:t xml:space="preserve">Q </w:t>
      </w:r>
      <w:r>
        <w:rPr>
          <w:sz w:val="24"/>
          <w:szCs w:val="24"/>
        </w:rPr>
        <w:t>– Can an interim CEO sign the application documents?</w:t>
      </w:r>
    </w:p>
    <w:p w14:paraId="318158D3" w14:textId="1C6D79B5" w:rsidR="00D24920" w:rsidRDefault="00D24920" w:rsidP="00D24920">
      <w:pPr>
        <w:pStyle w:val="ListParagraph"/>
        <w:numPr>
          <w:ilvl w:val="0"/>
          <w:numId w:val="1"/>
        </w:numPr>
        <w:spacing w:after="0"/>
        <w:rPr>
          <w:sz w:val="24"/>
          <w:szCs w:val="24"/>
        </w:rPr>
      </w:pPr>
      <w:r>
        <w:rPr>
          <w:b/>
          <w:bCs/>
          <w:sz w:val="24"/>
          <w:szCs w:val="24"/>
        </w:rPr>
        <w:t xml:space="preserve">A </w:t>
      </w:r>
      <w:r>
        <w:rPr>
          <w:sz w:val="24"/>
          <w:szCs w:val="24"/>
        </w:rPr>
        <w:t>– Yes, an interim CEO can sign the application documents.</w:t>
      </w:r>
    </w:p>
    <w:p w14:paraId="2EE2DC03" w14:textId="7AB5AEC8" w:rsidR="00D24920" w:rsidRDefault="00D24920" w:rsidP="00D24920">
      <w:pPr>
        <w:spacing w:after="0"/>
        <w:rPr>
          <w:sz w:val="24"/>
          <w:szCs w:val="24"/>
        </w:rPr>
      </w:pPr>
    </w:p>
    <w:p w14:paraId="0A02C615" w14:textId="473C12A5" w:rsidR="005969FB" w:rsidRDefault="00D24920" w:rsidP="005969FB">
      <w:pPr>
        <w:pStyle w:val="ListParagraph"/>
        <w:numPr>
          <w:ilvl w:val="0"/>
          <w:numId w:val="1"/>
        </w:numPr>
        <w:spacing w:after="0"/>
        <w:rPr>
          <w:sz w:val="24"/>
          <w:szCs w:val="24"/>
        </w:rPr>
      </w:pPr>
      <w:r>
        <w:rPr>
          <w:b/>
          <w:bCs/>
          <w:sz w:val="24"/>
          <w:szCs w:val="24"/>
        </w:rPr>
        <w:t>Q</w:t>
      </w:r>
      <w:r>
        <w:rPr>
          <w:sz w:val="24"/>
          <w:szCs w:val="24"/>
        </w:rPr>
        <w:t xml:space="preserve"> – Can Chapter 51 funding </w:t>
      </w:r>
      <w:r w:rsidR="005969FB">
        <w:rPr>
          <w:sz w:val="24"/>
          <w:szCs w:val="24"/>
        </w:rPr>
        <w:t xml:space="preserve">be used </w:t>
      </w:r>
      <w:r>
        <w:rPr>
          <w:sz w:val="24"/>
          <w:szCs w:val="24"/>
        </w:rPr>
        <w:t xml:space="preserve">for </w:t>
      </w:r>
      <w:r w:rsidR="005969FB">
        <w:rPr>
          <w:sz w:val="24"/>
          <w:szCs w:val="24"/>
        </w:rPr>
        <w:t>short and long-term residential treatment?</w:t>
      </w:r>
    </w:p>
    <w:p w14:paraId="66A41B15" w14:textId="67FADD90" w:rsidR="005969FB" w:rsidRDefault="005969FB" w:rsidP="005969FB">
      <w:pPr>
        <w:pStyle w:val="ListParagraph"/>
        <w:numPr>
          <w:ilvl w:val="0"/>
          <w:numId w:val="1"/>
        </w:numPr>
        <w:spacing w:after="0"/>
        <w:rPr>
          <w:sz w:val="24"/>
          <w:szCs w:val="24"/>
        </w:rPr>
      </w:pPr>
      <w:r>
        <w:rPr>
          <w:b/>
          <w:bCs/>
          <w:sz w:val="24"/>
          <w:szCs w:val="24"/>
        </w:rPr>
        <w:t xml:space="preserve">A </w:t>
      </w:r>
      <w:r>
        <w:rPr>
          <w:sz w:val="24"/>
          <w:szCs w:val="24"/>
        </w:rPr>
        <w:t>– Yes, Chapter 51 Funding can be utilized for short and long-term residential SUD treatment.</w:t>
      </w:r>
    </w:p>
    <w:p w14:paraId="5B7E3411" w14:textId="77777777" w:rsidR="005969FB" w:rsidRPr="005969FB" w:rsidRDefault="005969FB" w:rsidP="005969FB">
      <w:pPr>
        <w:pStyle w:val="ListParagraph"/>
        <w:rPr>
          <w:sz w:val="24"/>
          <w:szCs w:val="24"/>
        </w:rPr>
      </w:pPr>
    </w:p>
    <w:p w14:paraId="2EA3C30A" w14:textId="56424FD3" w:rsidR="005969FB" w:rsidRDefault="005969FB" w:rsidP="005969FB">
      <w:pPr>
        <w:pStyle w:val="ListParagraph"/>
        <w:numPr>
          <w:ilvl w:val="0"/>
          <w:numId w:val="1"/>
        </w:numPr>
        <w:spacing w:after="0"/>
        <w:rPr>
          <w:sz w:val="24"/>
          <w:szCs w:val="24"/>
        </w:rPr>
      </w:pPr>
      <w:r>
        <w:rPr>
          <w:b/>
          <w:bCs/>
          <w:sz w:val="24"/>
          <w:szCs w:val="24"/>
        </w:rPr>
        <w:lastRenderedPageBreak/>
        <w:t>Q</w:t>
      </w:r>
      <w:r>
        <w:rPr>
          <w:sz w:val="24"/>
          <w:szCs w:val="24"/>
        </w:rPr>
        <w:t xml:space="preserve"> – Can Chapter 51 funding be used to cover treatment for clients </w:t>
      </w:r>
      <w:r w:rsidR="008D70E3">
        <w:rPr>
          <w:sz w:val="24"/>
          <w:szCs w:val="24"/>
        </w:rPr>
        <w:t>whose</w:t>
      </w:r>
      <w:r>
        <w:rPr>
          <w:sz w:val="24"/>
          <w:szCs w:val="24"/>
        </w:rPr>
        <w:t xml:space="preserve"> insurance does not cover a particular level of care?</w:t>
      </w:r>
    </w:p>
    <w:p w14:paraId="17910A75" w14:textId="36197676" w:rsidR="008D70E3" w:rsidRDefault="008D70E3" w:rsidP="008D70E3">
      <w:pPr>
        <w:pStyle w:val="ListParagraph"/>
        <w:numPr>
          <w:ilvl w:val="0"/>
          <w:numId w:val="1"/>
        </w:numPr>
        <w:spacing w:after="0"/>
        <w:rPr>
          <w:sz w:val="24"/>
          <w:szCs w:val="24"/>
        </w:rPr>
      </w:pPr>
      <w:r>
        <w:rPr>
          <w:b/>
          <w:bCs/>
          <w:sz w:val="24"/>
          <w:szCs w:val="24"/>
        </w:rPr>
        <w:t xml:space="preserve">A </w:t>
      </w:r>
      <w:r>
        <w:rPr>
          <w:sz w:val="24"/>
          <w:szCs w:val="24"/>
        </w:rPr>
        <w:t xml:space="preserve">- </w:t>
      </w:r>
      <w:r w:rsidRPr="008D70E3">
        <w:rPr>
          <w:sz w:val="24"/>
          <w:szCs w:val="24"/>
        </w:rPr>
        <w:t>The use of Chapter 51 funds is strictly limited to meet the Alcohol, Tobacco and Other Drug treatment needs of those who lack the financial means to access treatment due to lack of insurance or the ability to self-pay.</w:t>
      </w:r>
      <w:r>
        <w:rPr>
          <w:sz w:val="24"/>
          <w:szCs w:val="24"/>
        </w:rPr>
        <w:t xml:space="preserve"> </w:t>
      </w:r>
      <w:r w:rsidRPr="008D70E3">
        <w:rPr>
          <w:sz w:val="24"/>
          <w:szCs w:val="24"/>
        </w:rPr>
        <w:t xml:space="preserve">This public funding may only be billed for a specific unit of service when there is no third-party insurance, Medicare, </w:t>
      </w:r>
      <w:r w:rsidR="000A734B" w:rsidRPr="008D70E3">
        <w:rPr>
          <w:sz w:val="24"/>
          <w:szCs w:val="24"/>
        </w:rPr>
        <w:t>Medicaid,</w:t>
      </w:r>
      <w:r w:rsidRPr="008D70E3">
        <w:rPr>
          <w:sz w:val="24"/>
          <w:szCs w:val="24"/>
        </w:rPr>
        <w:t xml:space="preserve"> or any other type of reimbursement, in whole or in part, for that service unit.</w:t>
      </w:r>
    </w:p>
    <w:p w14:paraId="56C8078F" w14:textId="77777777" w:rsidR="005969FB" w:rsidRPr="005969FB" w:rsidRDefault="005969FB" w:rsidP="005969FB">
      <w:pPr>
        <w:pStyle w:val="ListParagraph"/>
        <w:rPr>
          <w:sz w:val="24"/>
          <w:szCs w:val="24"/>
        </w:rPr>
      </w:pPr>
    </w:p>
    <w:p w14:paraId="06250F49" w14:textId="361C7A4C" w:rsidR="005969FB" w:rsidRDefault="005969FB" w:rsidP="005969FB">
      <w:pPr>
        <w:pStyle w:val="ListParagraph"/>
        <w:numPr>
          <w:ilvl w:val="0"/>
          <w:numId w:val="1"/>
        </w:numPr>
        <w:spacing w:after="0"/>
        <w:rPr>
          <w:sz w:val="24"/>
          <w:szCs w:val="24"/>
        </w:rPr>
      </w:pPr>
      <w:r>
        <w:rPr>
          <w:b/>
          <w:bCs/>
          <w:sz w:val="24"/>
          <w:szCs w:val="24"/>
        </w:rPr>
        <w:t xml:space="preserve">Q </w:t>
      </w:r>
      <w:r>
        <w:rPr>
          <w:sz w:val="24"/>
          <w:szCs w:val="24"/>
        </w:rPr>
        <w:t>– Can Chapter 51 funding be used to cover to extend time in treatment for clients when insurance denies continued care despite the client still meeting the clinical criteria for treatment?</w:t>
      </w:r>
    </w:p>
    <w:p w14:paraId="7D8C845B" w14:textId="0E3ED2E4" w:rsidR="008F7DE9" w:rsidRPr="005969FB" w:rsidRDefault="008F7DE9" w:rsidP="008F7DE9">
      <w:pPr>
        <w:pStyle w:val="ListParagraph"/>
        <w:numPr>
          <w:ilvl w:val="0"/>
          <w:numId w:val="1"/>
        </w:numPr>
        <w:spacing w:after="0"/>
        <w:rPr>
          <w:sz w:val="24"/>
          <w:szCs w:val="24"/>
        </w:rPr>
      </w:pPr>
      <w:r>
        <w:rPr>
          <w:b/>
          <w:bCs/>
          <w:sz w:val="24"/>
          <w:szCs w:val="24"/>
        </w:rPr>
        <w:t xml:space="preserve">A </w:t>
      </w:r>
      <w:r>
        <w:rPr>
          <w:sz w:val="24"/>
          <w:szCs w:val="24"/>
        </w:rPr>
        <w:t xml:space="preserve">- </w:t>
      </w:r>
      <w:r w:rsidRPr="008F7DE9">
        <w:rPr>
          <w:sz w:val="24"/>
          <w:szCs w:val="24"/>
        </w:rPr>
        <w:t>The use of Chapter 51 funds is strictly limited to meet the Alcohol, Tobacco and Other Drug treatment needs of those who lack the financial means to access treatment due to lack of insurance or the ability to self-pay. This public funding may only be billed for a specific unit of service when there is no third-party insurance, Medicare, Medicaid or any other type of reimbursement, in whole or in part, for that service unit.</w:t>
      </w:r>
    </w:p>
    <w:sectPr w:rsidR="008F7DE9" w:rsidRPr="00596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1A8A"/>
    <w:multiLevelType w:val="hybridMultilevel"/>
    <w:tmpl w:val="977C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25A89"/>
    <w:multiLevelType w:val="hybridMultilevel"/>
    <w:tmpl w:val="7EDC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73607"/>
    <w:multiLevelType w:val="hybridMultilevel"/>
    <w:tmpl w:val="738075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438914952">
    <w:abstractNumId w:val="1"/>
  </w:num>
  <w:num w:numId="2" w16cid:durableId="554045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7996988">
    <w:abstractNumId w:val="2"/>
  </w:num>
  <w:num w:numId="4" w16cid:durableId="688146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E4"/>
    <w:rsid w:val="0004123D"/>
    <w:rsid w:val="0007481C"/>
    <w:rsid w:val="000941E4"/>
    <w:rsid w:val="000A734B"/>
    <w:rsid w:val="001460AB"/>
    <w:rsid w:val="00175E6C"/>
    <w:rsid w:val="001C14AC"/>
    <w:rsid w:val="001E64E4"/>
    <w:rsid w:val="00250CE2"/>
    <w:rsid w:val="00256569"/>
    <w:rsid w:val="002872EA"/>
    <w:rsid w:val="002B4836"/>
    <w:rsid w:val="00302D6C"/>
    <w:rsid w:val="003C4EC5"/>
    <w:rsid w:val="00451971"/>
    <w:rsid w:val="00497EE7"/>
    <w:rsid w:val="00500156"/>
    <w:rsid w:val="0050681B"/>
    <w:rsid w:val="00516C81"/>
    <w:rsid w:val="00522F85"/>
    <w:rsid w:val="005969FB"/>
    <w:rsid w:val="005A244F"/>
    <w:rsid w:val="005F497F"/>
    <w:rsid w:val="00623465"/>
    <w:rsid w:val="00635205"/>
    <w:rsid w:val="00640714"/>
    <w:rsid w:val="006A6AE4"/>
    <w:rsid w:val="0073181B"/>
    <w:rsid w:val="00850B3D"/>
    <w:rsid w:val="00856609"/>
    <w:rsid w:val="00874363"/>
    <w:rsid w:val="008D70E3"/>
    <w:rsid w:val="008F7DE9"/>
    <w:rsid w:val="009230C9"/>
    <w:rsid w:val="00B366CB"/>
    <w:rsid w:val="00C62B57"/>
    <w:rsid w:val="00CB3701"/>
    <w:rsid w:val="00D24920"/>
    <w:rsid w:val="00D77EAD"/>
    <w:rsid w:val="00D80B13"/>
    <w:rsid w:val="00DA220A"/>
    <w:rsid w:val="00DB1ACF"/>
    <w:rsid w:val="00E14F3C"/>
    <w:rsid w:val="00E44E8D"/>
    <w:rsid w:val="00E53F98"/>
    <w:rsid w:val="00E70893"/>
    <w:rsid w:val="00EB4F9C"/>
    <w:rsid w:val="00EC088E"/>
    <w:rsid w:val="00EE70D7"/>
    <w:rsid w:val="00EF5055"/>
    <w:rsid w:val="00F11494"/>
    <w:rsid w:val="00FB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CEBEC"/>
  <w15:chartTrackingRefBased/>
  <w15:docId w15:val="{203D9173-6824-4363-A255-A7675C83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5709">
      <w:bodyDiv w:val="1"/>
      <w:marLeft w:val="0"/>
      <w:marRight w:val="0"/>
      <w:marTop w:val="0"/>
      <w:marBottom w:val="0"/>
      <w:divBdr>
        <w:top w:val="none" w:sz="0" w:space="0" w:color="auto"/>
        <w:left w:val="none" w:sz="0" w:space="0" w:color="auto"/>
        <w:bottom w:val="none" w:sz="0" w:space="0" w:color="auto"/>
        <w:right w:val="none" w:sz="0" w:space="0" w:color="auto"/>
      </w:divBdr>
      <w:divsChild>
        <w:div w:id="1657033123">
          <w:marLeft w:val="0"/>
          <w:marRight w:val="0"/>
          <w:marTop w:val="0"/>
          <w:marBottom w:val="0"/>
          <w:divBdr>
            <w:top w:val="none" w:sz="0" w:space="0" w:color="auto"/>
            <w:left w:val="none" w:sz="0" w:space="0" w:color="auto"/>
            <w:bottom w:val="none" w:sz="0" w:space="0" w:color="auto"/>
            <w:right w:val="none" w:sz="0" w:space="0" w:color="auto"/>
          </w:divBdr>
        </w:div>
      </w:divsChild>
    </w:div>
    <w:div w:id="1155490221">
      <w:bodyDiv w:val="1"/>
      <w:marLeft w:val="0"/>
      <w:marRight w:val="0"/>
      <w:marTop w:val="0"/>
      <w:marBottom w:val="0"/>
      <w:divBdr>
        <w:top w:val="none" w:sz="0" w:space="0" w:color="auto"/>
        <w:left w:val="none" w:sz="0" w:space="0" w:color="auto"/>
        <w:bottom w:val="none" w:sz="0" w:space="0" w:color="auto"/>
        <w:right w:val="none" w:sz="0" w:space="0" w:color="auto"/>
      </w:divBdr>
    </w:div>
    <w:div w:id="2096975867">
      <w:bodyDiv w:val="1"/>
      <w:marLeft w:val="0"/>
      <w:marRight w:val="0"/>
      <w:marTop w:val="0"/>
      <w:marBottom w:val="0"/>
      <w:divBdr>
        <w:top w:val="none" w:sz="0" w:space="0" w:color="auto"/>
        <w:left w:val="none" w:sz="0" w:space="0" w:color="auto"/>
        <w:bottom w:val="none" w:sz="0" w:space="0" w:color="auto"/>
        <w:right w:val="none" w:sz="0" w:space="0" w:color="auto"/>
      </w:divBdr>
      <w:divsChild>
        <w:div w:id="198365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6C365-87B7-4921-80C2-D33AD51C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2615</Characters>
  <Application>Microsoft Office Word</Application>
  <DocSecurity>0</DocSecurity>
  <Lines>55</Lines>
  <Paragraphs>19</Paragraphs>
  <ScaleCrop>false</ScaleCrop>
  <HeadingPairs>
    <vt:vector size="2" baseType="variant">
      <vt:variant>
        <vt:lpstr>Title</vt:lpstr>
      </vt:variant>
      <vt:variant>
        <vt:i4>1</vt:i4>
      </vt:variant>
    </vt:vector>
  </HeadingPairs>
  <TitlesOfParts>
    <vt:vector size="1" baseType="lpstr">
      <vt:lpstr/>
    </vt:vector>
  </TitlesOfParts>
  <Company>Morris County OIT</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Amy</dc:creator>
  <cp:keywords/>
  <dc:description/>
  <cp:lastModifiedBy>Hess, Anna Marie</cp:lastModifiedBy>
  <cp:revision>3</cp:revision>
  <dcterms:created xsi:type="dcterms:W3CDTF">2024-07-03T17:18:00Z</dcterms:created>
  <dcterms:modified xsi:type="dcterms:W3CDTF">2024-07-03T17:18:00Z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018ed8bbf1f5a7c27afcf94f226ed2f910bc9bfcecd63d7e5f2395d94082c66a</vt:lpwstr>
  </property>
</Properties>
</file>